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5E" w:rsidRPr="00992A83" w:rsidRDefault="004B089E" w:rsidP="00992A83">
      <w:pPr>
        <w:jc w:val="left"/>
        <w:rPr>
          <w:b/>
        </w:rPr>
      </w:pPr>
      <w:r w:rsidRPr="00992A83">
        <w:rPr>
          <w:b/>
        </w:rPr>
        <w:t>CFP</w:t>
      </w:r>
      <w:r w:rsidR="00341D7A" w:rsidRPr="00992A83">
        <w:rPr>
          <w:b/>
        </w:rPr>
        <w:t>:</w:t>
      </w:r>
      <w:r w:rsidR="0004505E" w:rsidRPr="00992A83">
        <w:rPr>
          <w:b/>
        </w:rPr>
        <w:t xml:space="preserve"> Sex and the Academy</w:t>
      </w:r>
    </w:p>
    <w:p w:rsidR="004B089E" w:rsidRDefault="00341D7A" w:rsidP="00992A83">
      <w:pPr>
        <w:jc w:val="left"/>
      </w:pPr>
      <w:r w:rsidRPr="00992A83">
        <w:rPr>
          <w:b/>
          <w:i/>
        </w:rPr>
        <w:t>2</w:t>
      </w:r>
      <w:r w:rsidR="008C2808" w:rsidRPr="00992A83">
        <w:rPr>
          <w:b/>
          <w:i/>
        </w:rPr>
        <w:t xml:space="preserve">2-23 </w:t>
      </w:r>
      <w:r w:rsidRPr="00992A83">
        <w:rPr>
          <w:b/>
          <w:i/>
        </w:rPr>
        <w:t>February</w:t>
      </w:r>
      <w:r w:rsidR="00C92FE9" w:rsidRPr="00992A83">
        <w:rPr>
          <w:b/>
          <w:i/>
        </w:rPr>
        <w:t xml:space="preserve"> 201</w:t>
      </w:r>
      <w:r w:rsidRPr="00992A83">
        <w:rPr>
          <w:b/>
          <w:i/>
        </w:rPr>
        <w:t>6</w:t>
      </w:r>
      <w:r w:rsidR="004B089E">
        <w:t>, Ghent University, Belgium</w:t>
      </w:r>
    </w:p>
    <w:p w:rsidR="00BF0BD6" w:rsidRDefault="00D1387B" w:rsidP="00992A83">
      <w:pPr>
        <w:jc w:val="left"/>
        <w:rPr>
          <w:b/>
          <w:i/>
        </w:rPr>
      </w:pPr>
      <w:r>
        <w:t>A two-day workshop</w:t>
      </w:r>
      <w:r w:rsidR="0090792B">
        <w:t xml:space="preserve"> of the </w:t>
      </w:r>
      <w:r>
        <w:br/>
      </w:r>
      <w:r w:rsidR="00BF0BD6" w:rsidRPr="004B089E">
        <w:rPr>
          <w:i/>
        </w:rPr>
        <w:t xml:space="preserve">International Network for Sexual Ethics and Politics </w:t>
      </w:r>
      <w:r w:rsidR="00BF0BD6">
        <w:rPr>
          <w:i/>
        </w:rPr>
        <w:t>–</w:t>
      </w:r>
      <w:r w:rsidR="00BF0BD6" w:rsidRPr="004B089E">
        <w:rPr>
          <w:i/>
        </w:rPr>
        <w:t xml:space="preserve"> INSEP</w:t>
      </w:r>
    </w:p>
    <w:p w:rsidR="00C92FE9" w:rsidRPr="004B089E" w:rsidRDefault="00C92FE9" w:rsidP="00992A83">
      <w:pPr>
        <w:jc w:val="left"/>
        <w:rPr>
          <w:b/>
        </w:rPr>
      </w:pPr>
      <w:r w:rsidRPr="004B089E">
        <w:t>Hosted by CEVI – </w:t>
      </w:r>
      <w:r w:rsidR="00172277" w:rsidRPr="00BF0BD6">
        <w:rPr>
          <w:i/>
        </w:rPr>
        <w:t>Cent</w:t>
      </w:r>
      <w:r w:rsidRPr="00BF0BD6">
        <w:rPr>
          <w:i/>
        </w:rPr>
        <w:t>r</w:t>
      </w:r>
      <w:r w:rsidR="00172277" w:rsidRPr="00BF0BD6">
        <w:rPr>
          <w:i/>
        </w:rPr>
        <w:t>e</w:t>
      </w:r>
      <w:r w:rsidRPr="00BF0BD6">
        <w:rPr>
          <w:i/>
        </w:rPr>
        <w:t xml:space="preserve"> for Ethics and Value Inquiry</w:t>
      </w:r>
      <w:r w:rsidR="00BF0BD6">
        <w:br/>
      </w:r>
      <w:r w:rsidR="004B089E" w:rsidRPr="004B089E">
        <w:t>Faculty of Arts and Philosophy</w:t>
      </w:r>
      <w:r w:rsidR="00BF0BD6">
        <w:br/>
      </w:r>
      <w:r w:rsidRPr="004B089E">
        <w:t>G</w:t>
      </w:r>
      <w:r w:rsidR="004B089E" w:rsidRPr="004B089E">
        <w:t xml:space="preserve">hent University, </w:t>
      </w:r>
      <w:proofErr w:type="spellStart"/>
      <w:r w:rsidR="004B089E" w:rsidRPr="004B089E">
        <w:t>Blandijnberg</w:t>
      </w:r>
      <w:proofErr w:type="spellEnd"/>
      <w:r w:rsidR="004B089E" w:rsidRPr="004B089E">
        <w:t xml:space="preserve"> 2</w:t>
      </w:r>
      <w:r w:rsidR="00BF0BD6">
        <w:br/>
      </w:r>
      <w:r w:rsidRPr="004B089E">
        <w:t>9000 Ghent – Belgium</w:t>
      </w:r>
    </w:p>
    <w:p w:rsidR="00340A08" w:rsidRDefault="00F36CD8" w:rsidP="00566C11">
      <w:pPr>
        <w:rPr>
          <w:rStyle w:val="Hyperlink"/>
        </w:rPr>
      </w:pPr>
      <w:hyperlink r:id="rId9" w:history="1">
        <w:r w:rsidR="00340A08" w:rsidRPr="000035F5">
          <w:rPr>
            <w:rStyle w:val="Hyperlink"/>
          </w:rPr>
          <w:t>http://www.insep.ugent.be/sexandtheacademy/</w:t>
        </w:r>
      </w:hyperlink>
    </w:p>
    <w:p w:rsidR="000E743A" w:rsidRDefault="000E743A" w:rsidP="00566C11"/>
    <w:p w:rsidR="002450FA" w:rsidRDefault="003636D5" w:rsidP="00566C11">
      <w:r>
        <w:t xml:space="preserve">Earlier this year Laura </w:t>
      </w:r>
      <w:proofErr w:type="spellStart"/>
      <w:r>
        <w:t>Kipnis</w:t>
      </w:r>
      <w:proofErr w:type="spellEnd"/>
      <w:r>
        <w:t xml:space="preserve"> caused a controversy with her article on ‘sexual paranoia’ in the academy</w:t>
      </w:r>
      <w:r w:rsidR="004B2023">
        <w:t xml:space="preserve"> in which she commented on university policies regulating student-faculty sexual relationships</w:t>
      </w:r>
      <w:r>
        <w:t>. Some called her intervention a melodrama –</w:t>
      </w:r>
      <w:r w:rsidR="00E64634">
        <w:t xml:space="preserve"> </w:t>
      </w:r>
      <w:r>
        <w:t>melo</w:t>
      </w:r>
      <w:r w:rsidR="00E64634">
        <w:t>dramatic</w:t>
      </w:r>
      <w:r>
        <w:t xml:space="preserve"> or not, </w:t>
      </w:r>
      <w:r w:rsidR="00B11312">
        <w:t xml:space="preserve">ensuing </w:t>
      </w:r>
      <w:r>
        <w:t xml:space="preserve">events did take on </w:t>
      </w:r>
      <w:r w:rsidR="00E64634">
        <w:t>epic</w:t>
      </w:r>
      <w:r>
        <w:t xml:space="preserve"> proportions. </w:t>
      </w:r>
      <w:r w:rsidR="00FD64A6">
        <w:t xml:space="preserve">She met with vehement opposition and was even under investigation from her </w:t>
      </w:r>
      <w:r w:rsidR="00B11312">
        <w:t xml:space="preserve">own </w:t>
      </w:r>
      <w:r w:rsidR="00FD64A6">
        <w:t xml:space="preserve">university. </w:t>
      </w:r>
      <w:r w:rsidR="00983EF2">
        <w:t>Discussions on social media quickly widened to encompass feminism/</w:t>
      </w:r>
      <w:proofErr w:type="spellStart"/>
      <w:r w:rsidR="00983EF2">
        <w:t>postfeminism</w:t>
      </w:r>
      <w:proofErr w:type="spellEnd"/>
      <w:r w:rsidR="00983EF2">
        <w:t xml:space="preserve"> controversies. Sex </w:t>
      </w:r>
      <w:r w:rsidR="00983EF2" w:rsidRPr="00983EF2">
        <w:rPr>
          <w:i/>
        </w:rPr>
        <w:t>in</w:t>
      </w:r>
      <w:r w:rsidR="00983EF2">
        <w:t xml:space="preserve"> the academy has always been a controversial issue – not only between faculty and students, but within the student population as well. Plenty are the studies documenting the alleged rise of a student hook-up culture and the highly sexualize</w:t>
      </w:r>
      <w:r w:rsidR="002450FA">
        <w:t>d liminal zone of student life.</w:t>
      </w:r>
    </w:p>
    <w:p w:rsidR="0004505E" w:rsidRDefault="00B11312" w:rsidP="00566C11">
      <w:r>
        <w:t xml:space="preserve">Sex </w:t>
      </w:r>
      <w:r w:rsidRPr="00B11312">
        <w:rPr>
          <w:i/>
        </w:rPr>
        <w:t>and</w:t>
      </w:r>
      <w:r>
        <w:t xml:space="preserve"> the academy </w:t>
      </w:r>
      <w:r w:rsidR="00506F1B">
        <w:t xml:space="preserve">is not without controversies </w:t>
      </w:r>
      <w:r w:rsidR="00FC33B8">
        <w:t>either</w:t>
      </w:r>
      <w:r w:rsidR="00506F1B">
        <w:t>. R</w:t>
      </w:r>
      <w:r>
        <w:t>e</w:t>
      </w:r>
      <w:r w:rsidR="00983EF2">
        <w:t xml:space="preserve">searching and teaching sex has </w:t>
      </w:r>
      <w:r w:rsidR="0076371E">
        <w:t>often</w:t>
      </w:r>
      <w:r w:rsidR="00506F1B">
        <w:t xml:space="preserve"> </w:t>
      </w:r>
      <w:r w:rsidR="00983EF2">
        <w:t>generated heated debate</w:t>
      </w:r>
      <w:r w:rsidR="00506F1B">
        <w:t xml:space="preserve">. To name but a few examples: from </w:t>
      </w:r>
      <w:r w:rsidR="00983EF2">
        <w:t>Kinsey’s research and ‘marriage course’</w:t>
      </w:r>
      <w:r w:rsidR="00E3525B">
        <w:t xml:space="preserve"> in the forties and fifties</w:t>
      </w:r>
      <w:r w:rsidR="00766A2A">
        <w:t>;</w:t>
      </w:r>
      <w:r w:rsidR="00506F1B">
        <w:t xml:space="preserve"> over </w:t>
      </w:r>
      <w:r w:rsidR="00E3525B">
        <w:t>the impact of the ‘second sexual revolution’ in the si</w:t>
      </w:r>
      <w:r w:rsidR="00766A2A">
        <w:t>xties and seventies;</w:t>
      </w:r>
      <w:r w:rsidR="00E3525B">
        <w:t xml:space="preserve"> the rise of gender studies, </w:t>
      </w:r>
      <w:r w:rsidR="00983EF2">
        <w:t xml:space="preserve">women’s studies and feminist research, </w:t>
      </w:r>
      <w:r w:rsidR="00E3525B">
        <w:t xml:space="preserve">lesbian and gay </w:t>
      </w:r>
      <w:r w:rsidR="00983EF2">
        <w:t xml:space="preserve"> studies and programs</w:t>
      </w:r>
      <w:r w:rsidR="00E3525B">
        <w:t xml:space="preserve"> in the late seventies and eighties</w:t>
      </w:r>
      <w:r w:rsidR="00766A2A">
        <w:t>;</w:t>
      </w:r>
      <w:r w:rsidR="00983EF2">
        <w:t xml:space="preserve"> </w:t>
      </w:r>
      <w:r w:rsidR="00E3525B">
        <w:t xml:space="preserve">the </w:t>
      </w:r>
      <w:r w:rsidR="00F14E39">
        <w:t xml:space="preserve">burgeoning </w:t>
      </w:r>
      <w:r w:rsidR="00E3525B">
        <w:t xml:space="preserve">of queer </w:t>
      </w:r>
      <w:r w:rsidR="00F14E39">
        <w:t xml:space="preserve">&amp; LGBTI </w:t>
      </w:r>
      <w:r w:rsidR="00E3525B">
        <w:t xml:space="preserve">studies </w:t>
      </w:r>
      <w:r w:rsidR="00766A2A">
        <w:t>in the nineties;</w:t>
      </w:r>
      <w:r w:rsidR="00F14E39">
        <w:t xml:space="preserve"> to more recent controversies concerning </w:t>
      </w:r>
      <w:r w:rsidR="00722E6E">
        <w:t>agency, choice and empowerment in the feminism/</w:t>
      </w:r>
      <w:proofErr w:type="spellStart"/>
      <w:r w:rsidR="00722E6E">
        <w:t>postfeminism</w:t>
      </w:r>
      <w:proofErr w:type="spellEnd"/>
      <w:r w:rsidR="00722E6E">
        <w:t xml:space="preserve"> debates, </w:t>
      </w:r>
      <w:r w:rsidR="00506F1B">
        <w:t>porn</w:t>
      </w:r>
      <w:r w:rsidR="00FC33B8">
        <w:t xml:space="preserve"> studies</w:t>
      </w:r>
      <w:r w:rsidR="00506F1B">
        <w:t xml:space="preserve"> </w:t>
      </w:r>
      <w:r w:rsidR="00983EF2">
        <w:t xml:space="preserve">and </w:t>
      </w:r>
      <w:r w:rsidR="00FC33B8">
        <w:t>wo</w:t>
      </w:r>
      <w:r w:rsidR="002C511B">
        <w:t>r</w:t>
      </w:r>
      <w:r w:rsidR="00FC33B8">
        <w:t xml:space="preserve">k </w:t>
      </w:r>
      <w:r w:rsidR="00506F1B">
        <w:t xml:space="preserve">on </w:t>
      </w:r>
      <w:r w:rsidR="00983EF2">
        <w:t>sex work/prostitution</w:t>
      </w:r>
      <w:r w:rsidR="00F14E39">
        <w:t>/trafficking</w:t>
      </w:r>
      <w:r w:rsidR="00E3525B">
        <w:t xml:space="preserve"> </w:t>
      </w:r>
      <w:r w:rsidR="00F14E39">
        <w:t xml:space="preserve">– the ‘powers of desire’ and the sexual politics of higher education have always </w:t>
      </w:r>
      <w:r w:rsidR="00F34DA0">
        <w:t>caused</w:t>
      </w:r>
      <w:r w:rsidR="00F14E39">
        <w:t xml:space="preserve"> tensions, controversies</w:t>
      </w:r>
      <w:r w:rsidR="00DA6A2E">
        <w:t xml:space="preserve"> and</w:t>
      </w:r>
      <w:r w:rsidR="00F14E39">
        <w:t xml:space="preserve"> opportunities</w:t>
      </w:r>
      <w:r w:rsidR="00DA6A2E">
        <w:t>.</w:t>
      </w:r>
    </w:p>
    <w:p w:rsidR="00DA6A2E" w:rsidRDefault="00DA6A2E" w:rsidP="00DA6A2E">
      <w:r>
        <w:t xml:space="preserve">Higher education </w:t>
      </w:r>
      <w:r w:rsidR="00975CD3">
        <w:t>is</w:t>
      </w:r>
      <w:r>
        <w:t xml:space="preserve"> shaped by wider </w:t>
      </w:r>
      <w:r w:rsidR="00975CD3">
        <w:t xml:space="preserve">social and cultural </w:t>
      </w:r>
      <w:r>
        <w:t xml:space="preserve">sexual politics and dynamics. The masculine and gendered character of the institution, e.g., is still holding back </w:t>
      </w:r>
      <w:r w:rsidR="00FC33B8">
        <w:t xml:space="preserve">the </w:t>
      </w:r>
      <w:r>
        <w:t xml:space="preserve">career development </w:t>
      </w:r>
      <w:r w:rsidR="00FC33B8">
        <w:t>of women in academia</w:t>
      </w:r>
      <w:r>
        <w:t xml:space="preserve">. More recently, the </w:t>
      </w:r>
      <w:proofErr w:type="spellStart"/>
      <w:r>
        <w:t>neoliberalisation</w:t>
      </w:r>
      <w:proofErr w:type="spellEnd"/>
      <w:r>
        <w:t xml:space="preserve"> of higher education has </w:t>
      </w:r>
      <w:r w:rsidR="00FC33B8">
        <w:t xml:space="preserve">had an enduring impact on class, gender and sexuality </w:t>
      </w:r>
      <w:proofErr w:type="spellStart"/>
      <w:r w:rsidR="00FC33B8">
        <w:t>structurings</w:t>
      </w:r>
      <w:proofErr w:type="spellEnd"/>
      <w:r w:rsidR="00FC33B8">
        <w:t xml:space="preserve">, subjectivities and </w:t>
      </w:r>
      <w:proofErr w:type="spellStart"/>
      <w:r w:rsidR="00FC33B8">
        <w:t>normativities</w:t>
      </w:r>
      <w:proofErr w:type="spellEnd"/>
      <w:r w:rsidR="002450FA">
        <w:t xml:space="preserve"> in academia</w:t>
      </w:r>
      <w:r w:rsidR="00FC33B8">
        <w:t>.</w:t>
      </w:r>
    </w:p>
    <w:p w:rsidR="00A94E3F" w:rsidRDefault="00EF39FD" w:rsidP="00566C11">
      <w:r>
        <w:t xml:space="preserve">Higher education has </w:t>
      </w:r>
      <w:r w:rsidR="003C5DF5">
        <w:t>often</w:t>
      </w:r>
      <w:r>
        <w:t xml:space="preserve"> played a crucial role in shaping sexual politics</w:t>
      </w:r>
      <w:r w:rsidR="00FC33B8">
        <w:t xml:space="preserve"> as well</w:t>
      </w:r>
      <w:r>
        <w:t xml:space="preserve">. By their very nature </w:t>
      </w:r>
      <w:r w:rsidR="004B74AC">
        <w:t>universities and colleges</w:t>
      </w:r>
      <w:r>
        <w:t xml:space="preserve"> are highly sexualized and gendered places and spaces. Teaching, according to some, has an intimate link with desire and generates tensions and intimacies between teachers and students. </w:t>
      </w:r>
      <w:r w:rsidR="004B74AC">
        <w:t xml:space="preserve">The curriculum is not detached from the wider social context and is as such gendered and sexualized. </w:t>
      </w:r>
      <w:r>
        <w:t>Higher education also provides a liminal zone and timeframe which enables young people to discover, develop and experiment with sexual</w:t>
      </w:r>
      <w:r w:rsidR="004B74AC">
        <w:t xml:space="preserve">  relationships,</w:t>
      </w:r>
      <w:r>
        <w:t xml:space="preserve"> identities and repertoires.</w:t>
      </w:r>
      <w:r w:rsidR="004B74AC">
        <w:t xml:space="preserve"> As places of scholarship and research</w:t>
      </w:r>
      <w:r w:rsidR="003B28AF">
        <w:t>,</w:t>
      </w:r>
      <w:r w:rsidR="004B74AC">
        <w:t xml:space="preserve"> universities shape </w:t>
      </w:r>
      <w:proofErr w:type="spellStart"/>
      <w:r w:rsidR="004B74AC">
        <w:t>knowledges</w:t>
      </w:r>
      <w:proofErr w:type="spellEnd"/>
      <w:r w:rsidR="004B74AC">
        <w:t xml:space="preserve"> and future research and pedagogical agendas</w:t>
      </w:r>
      <w:r w:rsidR="003B28AF">
        <w:t>.</w:t>
      </w:r>
      <w:r w:rsidR="00A94E3F">
        <w:t xml:space="preserve"> </w:t>
      </w:r>
    </w:p>
    <w:p w:rsidR="00E455C3" w:rsidRDefault="003B28AF" w:rsidP="00566C11">
      <w:r>
        <w:t xml:space="preserve">In this </w:t>
      </w:r>
      <w:r w:rsidR="00537F9A">
        <w:t xml:space="preserve">two-day </w:t>
      </w:r>
      <w:r>
        <w:t>workshop we would like to bring together researchers</w:t>
      </w:r>
      <w:r w:rsidR="003C5DF5">
        <w:t xml:space="preserve">, </w:t>
      </w:r>
      <w:r>
        <w:t xml:space="preserve">teachers </w:t>
      </w:r>
      <w:r w:rsidR="003C5DF5">
        <w:t xml:space="preserve">and students </w:t>
      </w:r>
      <w:r>
        <w:t xml:space="preserve">to reflect on the sexual politics of higher education. It is a first instalment of a series of </w:t>
      </w:r>
      <w:r w:rsidR="00537F9A">
        <w:t>meetings</w:t>
      </w:r>
      <w:r>
        <w:t xml:space="preserve"> in which the wide array of issues </w:t>
      </w:r>
      <w:r w:rsidR="00A94E3F">
        <w:t>related to</w:t>
      </w:r>
      <w:r>
        <w:t xml:space="preserve"> the sexualized and gendered nature of higher education will be explored.</w:t>
      </w:r>
      <w:r w:rsidR="00E455C3">
        <w:t xml:space="preserve"> </w:t>
      </w:r>
    </w:p>
    <w:p w:rsidR="00E455C3" w:rsidRDefault="00E455C3" w:rsidP="00340A08">
      <w:r>
        <w:t>We invite proposals for papers and pre-organized panels addressing historical and contemporary aspects of the following themes:</w:t>
      </w:r>
    </w:p>
    <w:p w:rsidR="002450FA" w:rsidRPr="00491A3C" w:rsidRDefault="002450FA" w:rsidP="002450FA">
      <w:pPr>
        <w:rPr>
          <w:b/>
        </w:rPr>
      </w:pPr>
      <w:r w:rsidRPr="00491A3C">
        <w:rPr>
          <w:b/>
        </w:rPr>
        <w:lastRenderedPageBreak/>
        <w:t xml:space="preserve">HE as </w:t>
      </w:r>
      <w:r w:rsidR="000D369A">
        <w:rPr>
          <w:b/>
        </w:rPr>
        <w:t>Gendered and Sexualized I</w:t>
      </w:r>
      <w:r w:rsidRPr="00491A3C">
        <w:rPr>
          <w:b/>
        </w:rPr>
        <w:t>nstitutions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Political/Sexual/Gender correctness</w:t>
      </w:r>
      <w:r>
        <w:t xml:space="preserve"> on campus, in teaching and research</w:t>
      </w:r>
    </w:p>
    <w:p w:rsidR="002450FA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Sexual harassment and assault</w:t>
      </w:r>
      <w:r>
        <w:t xml:space="preserve"> - </w:t>
      </w:r>
      <w:r w:rsidRPr="00491A3C">
        <w:t>rape &amp; date/acquaintance-rape</w:t>
      </w:r>
    </w:p>
    <w:p w:rsidR="0090792B" w:rsidRDefault="0090792B" w:rsidP="0090792B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Sexual correctness, harassment and assault regulations and policies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Student reproductive and</w:t>
      </w:r>
      <w:r w:rsidRPr="00491A3C">
        <w:t xml:space="preserve"> sexual health issues </w:t>
      </w:r>
      <w:r>
        <w:t xml:space="preserve">and </w:t>
      </w:r>
      <w:r w:rsidRPr="00491A3C">
        <w:t>promotion</w:t>
      </w:r>
      <w:r>
        <w:t xml:space="preserve">, </w:t>
      </w:r>
      <w:r>
        <w:rPr>
          <w:rFonts w:ascii="Calibri" w:eastAsia="Times New Roman" w:hAnsi="Calibri"/>
          <w:color w:val="000000"/>
        </w:rPr>
        <w:t>facilities &amp; access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Campus t</w:t>
      </w:r>
      <w:r w:rsidRPr="00491A3C">
        <w:t>olerance, solidarity &amp; sexual identity and orientation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  <w:rPr>
          <w:rFonts w:ascii="Calibri" w:eastAsiaTheme="minorEastAsia" w:hAnsi="Calibri"/>
          <w:color w:val="000000"/>
        </w:rPr>
      </w:pPr>
      <w:r w:rsidRPr="00491A3C">
        <w:t>Cultural and sexual diversities</w:t>
      </w:r>
      <w:r w:rsidRPr="00491A3C">
        <w:rPr>
          <w:rFonts w:ascii="Calibri" w:hAnsi="Calibri"/>
          <w:color w:val="000000"/>
        </w:rPr>
        <w:t> 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 xml:space="preserve">HE institutions as </w:t>
      </w:r>
      <w:r w:rsidR="001F431E">
        <w:t xml:space="preserve">loci and </w:t>
      </w:r>
      <w:r w:rsidRPr="00491A3C">
        <w:t xml:space="preserve">agents of change </w:t>
      </w:r>
      <w:r w:rsidR="001F431E">
        <w:t>–</w:t>
      </w:r>
      <w:r w:rsidRPr="00491A3C">
        <w:t xml:space="preserve"> </w:t>
      </w:r>
      <w:r w:rsidR="001F431E">
        <w:t>sexual revolutions</w:t>
      </w:r>
      <w:r w:rsidRPr="00491A3C">
        <w:t xml:space="preserve"> &amp; backlashes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Women, careers and the academy</w:t>
      </w:r>
      <w:r w:rsidR="0090792B">
        <w:t xml:space="preserve"> - g</w:t>
      </w:r>
      <w:r w:rsidRPr="00491A3C">
        <w:t>ender mainstreaming policies</w:t>
      </w:r>
      <w:r w:rsidR="000D369A">
        <w:t xml:space="preserve"> &amp; challenges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HE and masculinity</w:t>
      </w:r>
    </w:p>
    <w:p w:rsidR="002450FA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The sexual politics of the neoliberal university</w:t>
      </w:r>
    </w:p>
    <w:p w:rsidR="0004505E" w:rsidRPr="00491A3C" w:rsidRDefault="0004505E" w:rsidP="00491A3C">
      <w:pPr>
        <w:rPr>
          <w:b/>
        </w:rPr>
      </w:pPr>
      <w:r w:rsidRPr="00491A3C">
        <w:rPr>
          <w:b/>
        </w:rPr>
        <w:t>Researching &amp; Teaching Sexuality</w:t>
      </w:r>
    </w:p>
    <w:p w:rsidR="0004505E" w:rsidRDefault="0090792B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Researching and t</w:t>
      </w:r>
      <w:r w:rsidR="0004505E" w:rsidRPr="00491A3C">
        <w:t>eaching sexuality studies &amp; sexuality-related topics</w:t>
      </w:r>
    </w:p>
    <w:p w:rsidR="0090792B" w:rsidRPr="00491A3C" w:rsidRDefault="0090792B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G</w:t>
      </w:r>
      <w:r w:rsidRPr="00491A3C">
        <w:t>endered curricula &amp; research agendas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HE as a critical/disciplinary space and regime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Feminist, queer and critical pedagogies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Sexual identities</w:t>
      </w:r>
      <w:r w:rsidR="0090792B">
        <w:t xml:space="preserve">, </w:t>
      </w:r>
      <w:r w:rsidRPr="00491A3C">
        <w:t>orientations and academic careers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Libraries, erotica &amp; pornography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Researching student sexualities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Research ethics and sexuality research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 xml:space="preserve">Women's, feminist and </w:t>
      </w:r>
      <w:r w:rsidR="002450FA">
        <w:t>(post)</w:t>
      </w:r>
      <w:r w:rsidRPr="00491A3C">
        <w:t>gender studies and their relation with sexuality studies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Feminism(s)/</w:t>
      </w:r>
      <w:proofErr w:type="spellStart"/>
      <w:r w:rsidRPr="00491A3C">
        <w:t>Postfeminism</w:t>
      </w:r>
      <w:proofErr w:type="spellEnd"/>
      <w:r w:rsidRPr="00491A3C">
        <w:t>(s) and the agency &amp; empowerment debates in HE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The place of queer studies in HE</w:t>
      </w:r>
    </w:p>
    <w:p w:rsidR="0004505E" w:rsidRPr="00491A3C" w:rsidRDefault="0004505E" w:rsidP="00491A3C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Sexology and its place in HE</w:t>
      </w:r>
    </w:p>
    <w:p w:rsidR="0004505E" w:rsidRDefault="0004505E" w:rsidP="0090792B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Freedom of speech, academic freedom and censorship</w:t>
      </w:r>
    </w:p>
    <w:p w:rsidR="000D369A" w:rsidRDefault="000D369A" w:rsidP="000D369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 xml:space="preserve">The </w:t>
      </w:r>
      <w:proofErr w:type="spellStart"/>
      <w:r w:rsidRPr="00491A3C">
        <w:t>erotics</w:t>
      </w:r>
      <w:proofErr w:type="spellEnd"/>
      <w:r w:rsidRPr="00491A3C">
        <w:t xml:space="preserve"> of teaching and education</w:t>
      </w:r>
    </w:p>
    <w:p w:rsidR="002450FA" w:rsidRPr="00E455C3" w:rsidRDefault="002450FA" w:rsidP="002450FA">
      <w:pPr>
        <w:rPr>
          <w:b/>
        </w:rPr>
      </w:pPr>
      <w:r>
        <w:rPr>
          <w:b/>
        </w:rPr>
        <w:t xml:space="preserve">Student </w:t>
      </w:r>
      <w:r w:rsidRPr="00E455C3">
        <w:rPr>
          <w:b/>
        </w:rPr>
        <w:t xml:space="preserve">Sexual Relations </w:t>
      </w:r>
      <w:r>
        <w:rPr>
          <w:b/>
        </w:rPr>
        <w:t xml:space="preserve">and Explorations </w:t>
      </w:r>
      <w:r w:rsidRPr="00E455C3">
        <w:rPr>
          <w:b/>
        </w:rPr>
        <w:t>in HE</w:t>
      </w:r>
    </w:p>
    <w:p w:rsidR="000D369A" w:rsidRPr="00343318" w:rsidRDefault="000D369A" w:rsidP="000D369A">
      <w:pPr>
        <w:pStyle w:val="Lijstalinea"/>
        <w:numPr>
          <w:ilvl w:val="0"/>
          <w:numId w:val="2"/>
        </w:numPr>
        <w:spacing w:before="0" w:after="0"/>
        <w:ind w:left="426"/>
        <w:jc w:val="left"/>
        <w:textAlignment w:val="center"/>
      </w:pPr>
      <w:r w:rsidRPr="00343318">
        <w:t>Liminality - student life as a liminal zone of sexual opportunities, discovery &amp; experimentation</w:t>
      </w:r>
    </w:p>
    <w:p w:rsidR="002450FA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 xml:space="preserve">Student-Faculty Sexual Relations - </w:t>
      </w:r>
      <w:r w:rsidRPr="002450FA">
        <w:t>Authority &amp; Power (</w:t>
      </w:r>
      <w:proofErr w:type="spellStart"/>
      <w:r w:rsidRPr="002450FA">
        <w:t>im</w:t>
      </w:r>
      <w:proofErr w:type="spellEnd"/>
      <w:r w:rsidRPr="002450FA">
        <w:t xml:space="preserve">)balances; </w:t>
      </w:r>
      <w:r>
        <w:t>c</w:t>
      </w:r>
      <w:r w:rsidRPr="002450FA">
        <w:t>onsent,</w:t>
      </w:r>
      <w:r>
        <w:t xml:space="preserve"> choice,</w:t>
      </w:r>
      <w:r w:rsidRPr="002450FA">
        <w:t xml:space="preserve"> responsibilities, vulnerabilities &amp; harm</w:t>
      </w:r>
    </w:p>
    <w:p w:rsidR="0076371E" w:rsidRDefault="0076371E" w:rsidP="0076371E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The sexual imperative and p</w:t>
      </w:r>
      <w:r w:rsidRPr="008017D4">
        <w:t>eer conformity pressures</w:t>
      </w:r>
    </w:p>
    <w:p w:rsidR="002450FA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343318">
        <w:t>Hook-up Culture, Friends with benefits &amp; Casual Sex</w:t>
      </w:r>
    </w:p>
    <w:p w:rsidR="000D369A" w:rsidRDefault="000D369A" w:rsidP="000D369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F137DA">
        <w:t>Technolog</w:t>
      </w:r>
      <w:r>
        <w:t>ies of dating &amp; s</w:t>
      </w:r>
      <w:r w:rsidRPr="00F137DA">
        <w:t>exualised social media</w:t>
      </w:r>
    </w:p>
    <w:p w:rsidR="0076371E" w:rsidRDefault="0076371E" w:rsidP="0076371E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 xml:space="preserve">Hetero &amp; </w:t>
      </w:r>
      <w:proofErr w:type="spellStart"/>
      <w:r>
        <w:t>homonormativities</w:t>
      </w:r>
      <w:proofErr w:type="spellEnd"/>
      <w:r>
        <w:t xml:space="preserve"> - Inclusions and exclusions</w:t>
      </w:r>
    </w:p>
    <w:p w:rsidR="0090792B" w:rsidRDefault="0090792B" w:rsidP="0090792B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Student gender identities, ambiguities and sexual orientations</w:t>
      </w:r>
    </w:p>
    <w:p w:rsidR="0076371E" w:rsidRDefault="0076371E" w:rsidP="0076371E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Sexual reputations and double standards</w:t>
      </w:r>
    </w:p>
    <w:p w:rsidR="002450FA" w:rsidRDefault="0090792B" w:rsidP="0090792B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>
        <w:t>(</w:t>
      </w:r>
      <w:r w:rsidR="002450FA" w:rsidRPr="00343318">
        <w:t>International</w:t>
      </w:r>
      <w:r>
        <w:t xml:space="preserve">) </w:t>
      </w:r>
      <w:r w:rsidR="002450FA" w:rsidRPr="00343318">
        <w:t>Student mobility: opportunities and challenges</w:t>
      </w:r>
    </w:p>
    <w:p w:rsidR="002450FA" w:rsidRPr="00343318" w:rsidRDefault="002450FA" w:rsidP="002450FA">
      <w:pPr>
        <w:pStyle w:val="Lijstalinea"/>
        <w:numPr>
          <w:ilvl w:val="0"/>
          <w:numId w:val="2"/>
        </w:numPr>
        <w:spacing w:before="0" w:after="0"/>
        <w:ind w:left="426"/>
        <w:jc w:val="left"/>
        <w:textAlignment w:val="center"/>
      </w:pPr>
      <w:r w:rsidRPr="00343318">
        <w:t xml:space="preserve">Student unions as sexualised </w:t>
      </w:r>
      <w:r w:rsidR="000D369A">
        <w:t xml:space="preserve">and/or sexuality/identity-based </w:t>
      </w:r>
      <w:r w:rsidRPr="00343318">
        <w:t xml:space="preserve">organisations 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>Student events - parties, upper dare’s</w:t>
      </w:r>
      <w:r w:rsidR="0076371E">
        <w:t>, …</w:t>
      </w:r>
    </w:p>
    <w:p w:rsidR="001F431E" w:rsidRPr="00491A3C" w:rsidRDefault="001F431E" w:rsidP="001F431E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</w:pPr>
      <w:r w:rsidRPr="00491A3C">
        <w:t xml:space="preserve">Student </w:t>
      </w:r>
      <w:r>
        <w:t>sex work</w:t>
      </w:r>
    </w:p>
    <w:p w:rsidR="002450FA" w:rsidRPr="00491A3C" w:rsidRDefault="002450FA" w:rsidP="002450FA">
      <w:pPr>
        <w:pStyle w:val="Lijstalinea"/>
        <w:numPr>
          <w:ilvl w:val="0"/>
          <w:numId w:val="2"/>
        </w:numPr>
        <w:tabs>
          <w:tab w:val="clear" w:pos="-465"/>
        </w:tabs>
        <w:spacing w:before="0" w:after="0"/>
        <w:ind w:left="426"/>
        <w:jc w:val="left"/>
        <w:textAlignment w:val="center"/>
        <w:rPr>
          <w:rFonts w:ascii="Calibri" w:eastAsiaTheme="minorEastAsia" w:hAnsi="Calibri"/>
          <w:color w:val="000000"/>
        </w:rPr>
      </w:pPr>
      <w:r w:rsidRPr="00491A3C">
        <w:t>Sexual activism &amp; feminist mobilisation</w:t>
      </w:r>
      <w:r>
        <w:t xml:space="preserve"> on and off campus</w:t>
      </w:r>
      <w:r w:rsidRPr="00491A3C">
        <w:rPr>
          <w:rFonts w:ascii="Calibri" w:hAnsi="Calibri"/>
          <w:color w:val="000000"/>
        </w:rPr>
        <w:t> </w:t>
      </w:r>
    </w:p>
    <w:p w:rsidR="0067590A" w:rsidRDefault="00566C11" w:rsidP="0004505E">
      <w:r>
        <w:rPr>
          <w:b/>
        </w:rPr>
        <w:t xml:space="preserve">Submission &amp; </w:t>
      </w:r>
      <w:r w:rsidR="00257533" w:rsidRPr="00054EC1">
        <w:rPr>
          <w:b/>
        </w:rPr>
        <w:t>Timeline</w:t>
      </w:r>
    </w:p>
    <w:p w:rsidR="00602D2E" w:rsidRDefault="008C61C4" w:rsidP="0004505E">
      <w:r w:rsidRPr="008C61C4">
        <w:t xml:space="preserve">Abstracts for presentations (300 words) or for panels of up to three speakers </w:t>
      </w:r>
      <w:r w:rsidR="00F245C1">
        <w:t>(</w:t>
      </w:r>
      <w:r w:rsidR="0067590A">
        <w:t xml:space="preserve">please submit a 500-600 overview and set of abstracts) </w:t>
      </w:r>
      <w:r w:rsidR="00F245C1">
        <w:t xml:space="preserve">should reach us </w:t>
      </w:r>
      <w:r w:rsidR="00F245C1" w:rsidRPr="0067590A">
        <w:t xml:space="preserve">by </w:t>
      </w:r>
      <w:r w:rsidR="0090792B" w:rsidRPr="0090792B">
        <w:t>15</w:t>
      </w:r>
      <w:r w:rsidR="00602D2E" w:rsidRPr="0090792B">
        <w:t xml:space="preserve"> </w:t>
      </w:r>
      <w:r w:rsidR="0090792B" w:rsidRPr="0090792B">
        <w:t>November</w:t>
      </w:r>
      <w:r w:rsidR="00602D2E" w:rsidRPr="0090792B">
        <w:t xml:space="preserve"> 2015</w:t>
      </w:r>
      <w:r w:rsidR="00B8122F" w:rsidRPr="0090792B">
        <w:t xml:space="preserve"> at the latest</w:t>
      </w:r>
      <w:r w:rsidR="00602D2E" w:rsidRPr="0090792B">
        <w:t>, w</w:t>
      </w:r>
      <w:r w:rsidR="0090792B" w:rsidRPr="0090792B">
        <w:t>ith notification of acceptance 22</w:t>
      </w:r>
      <w:r w:rsidR="00602D2E" w:rsidRPr="0090792B">
        <w:t xml:space="preserve"> November 2015</w:t>
      </w:r>
      <w:r w:rsidR="00F245C1" w:rsidRPr="0090792B">
        <w:t>.</w:t>
      </w:r>
      <w:r w:rsidR="00602D2E">
        <w:t xml:space="preserve"> </w:t>
      </w:r>
      <w:r w:rsidR="0067590A" w:rsidRPr="002C6541">
        <w:t xml:space="preserve">To facilitate funding applications </w:t>
      </w:r>
      <w:r w:rsidR="00A41207">
        <w:t xml:space="preserve">you can submit an abstract in advance of the regular deadline – our </w:t>
      </w:r>
      <w:r w:rsidR="00A41207" w:rsidRPr="002C6541">
        <w:t xml:space="preserve">turnaround time for refereeing </w:t>
      </w:r>
      <w:r w:rsidR="00A41207">
        <w:t xml:space="preserve">in this case </w:t>
      </w:r>
      <w:r w:rsidR="00A41207" w:rsidRPr="002C6541">
        <w:t>is 10 days</w:t>
      </w:r>
      <w:r w:rsidR="00A41207">
        <w:t xml:space="preserve"> </w:t>
      </w:r>
      <w:r w:rsidR="0067590A">
        <w:t xml:space="preserve">and </w:t>
      </w:r>
      <w:r w:rsidR="00A41207">
        <w:t xml:space="preserve">we </w:t>
      </w:r>
      <w:r w:rsidR="0067590A">
        <w:t>can provide documentation where it is required to facilitate funding</w:t>
      </w:r>
      <w:r w:rsidR="0067590A" w:rsidRPr="002C6541">
        <w:t>.</w:t>
      </w:r>
      <w:bookmarkStart w:id="0" w:name="_GoBack"/>
      <w:bookmarkEnd w:id="0"/>
    </w:p>
    <w:p w:rsidR="00566C11" w:rsidRDefault="0004505E" w:rsidP="0004505E">
      <w:r>
        <w:t>Please send abstracts to:</w:t>
      </w:r>
      <w:r w:rsidR="00602D2E">
        <w:t xml:space="preserve"> </w:t>
      </w:r>
      <w:hyperlink r:id="rId10" w:history="1">
        <w:r w:rsidR="00566C11" w:rsidRPr="00C74E28">
          <w:rPr>
            <w:rStyle w:val="Hyperlink"/>
          </w:rPr>
          <w:t>insep.network@gmail.com</w:t>
        </w:r>
      </w:hyperlink>
    </w:p>
    <w:p w:rsidR="000860D1" w:rsidRDefault="000860D1" w:rsidP="00566C11">
      <w:r w:rsidRPr="002C6541">
        <w:lastRenderedPageBreak/>
        <w:t xml:space="preserve">The </w:t>
      </w:r>
      <w:r w:rsidRPr="0067590A">
        <w:t>fee</w:t>
      </w:r>
      <w:r w:rsidRPr="002C6541">
        <w:t xml:space="preserve"> </w:t>
      </w:r>
      <w:r w:rsidR="002B2158" w:rsidRPr="002C6541">
        <w:t xml:space="preserve">for </w:t>
      </w:r>
      <w:r w:rsidR="008B7F6F" w:rsidRPr="002C6541">
        <w:t xml:space="preserve">the </w:t>
      </w:r>
      <w:r w:rsidR="00537F9A">
        <w:t>two-day workshop</w:t>
      </w:r>
      <w:r w:rsidR="002B2158" w:rsidRPr="002C6541">
        <w:t xml:space="preserve"> </w:t>
      </w:r>
      <w:r w:rsidRPr="002C6541">
        <w:t xml:space="preserve">is </w:t>
      </w:r>
      <w:r w:rsidR="0067590A">
        <w:t>100</w:t>
      </w:r>
      <w:r w:rsidR="000A16B9">
        <w:t xml:space="preserve"> Euro</w:t>
      </w:r>
      <w:r w:rsidR="00537F9A">
        <w:t>.</w:t>
      </w:r>
      <w:r w:rsidRPr="002C6541">
        <w:t xml:space="preserve"> A concessionary rate </w:t>
      </w:r>
      <w:r w:rsidR="00F94658">
        <w:t xml:space="preserve">of </w:t>
      </w:r>
      <w:r w:rsidR="0067590A">
        <w:t>50</w:t>
      </w:r>
      <w:r w:rsidR="000A16B9">
        <w:t xml:space="preserve"> Euro</w:t>
      </w:r>
      <w:r w:rsidR="002132DD" w:rsidRPr="002C6541">
        <w:t xml:space="preserve"> </w:t>
      </w:r>
      <w:r w:rsidRPr="002C6541">
        <w:t xml:space="preserve">is available to </w:t>
      </w:r>
      <w:r w:rsidR="002B2158" w:rsidRPr="002C6541">
        <w:t xml:space="preserve">students and </w:t>
      </w:r>
      <w:r w:rsidRPr="002C6541">
        <w:t>postgraduates</w:t>
      </w:r>
      <w:r w:rsidR="00054EC1">
        <w:t>.</w:t>
      </w:r>
    </w:p>
    <w:p w:rsidR="004E172D" w:rsidRDefault="004E172D" w:rsidP="00566C11">
      <w:r>
        <w:t xml:space="preserve">INSEP publishes a journal and a book series with Barbara </w:t>
      </w:r>
      <w:proofErr w:type="spellStart"/>
      <w:r>
        <w:t>Budrich</w:t>
      </w:r>
      <w:proofErr w:type="spellEnd"/>
      <w:r>
        <w:t xml:space="preserve"> Publishers. We would anticipate commissioning publications from the </w:t>
      </w:r>
      <w:r w:rsidR="0067590A">
        <w:t>conference</w:t>
      </w:r>
      <w:r>
        <w:t xml:space="preserve"> and, dependent on quality and coherence, may publish a collection based on themes emerging from the conference. INSEP also welcomes submissions to the journal and proposals to the Book Series.</w:t>
      </w:r>
    </w:p>
    <w:p w:rsidR="000305AB" w:rsidRDefault="000305AB" w:rsidP="00054EC1">
      <w:pPr>
        <w:jc w:val="left"/>
      </w:pPr>
      <w:r>
        <w:t xml:space="preserve">For more info on INSEP </w:t>
      </w:r>
      <w:r w:rsidR="00B05C06">
        <w:t xml:space="preserve">&amp; the </w:t>
      </w:r>
      <w:r w:rsidR="00242C6A" w:rsidRPr="00045EDF">
        <w:rPr>
          <w:i/>
        </w:rPr>
        <w:t>Sex and the Academy</w:t>
      </w:r>
      <w:r w:rsidR="00242C6A">
        <w:t xml:space="preserve"> </w:t>
      </w:r>
      <w:r w:rsidR="00BF0BD6">
        <w:t>initiative</w:t>
      </w:r>
      <w:r w:rsidR="00242C6A">
        <w:t xml:space="preserve"> </w:t>
      </w:r>
      <w:r>
        <w:t>please visit:</w:t>
      </w:r>
    </w:p>
    <w:p w:rsidR="00242C6A" w:rsidRDefault="00242C6A" w:rsidP="00B05C06">
      <w:pPr>
        <w:spacing w:after="0"/>
        <w:contextualSpacing/>
        <w:jc w:val="left"/>
      </w:pPr>
      <w:r w:rsidRPr="000E743A">
        <w:rPr>
          <w:i/>
        </w:rPr>
        <w:t>Sex and the Academy</w:t>
      </w:r>
      <w:r>
        <w:t xml:space="preserve">: </w:t>
      </w:r>
      <w:hyperlink r:id="rId11" w:history="1">
        <w:r w:rsidRPr="000035F5">
          <w:rPr>
            <w:rStyle w:val="Hyperlink"/>
          </w:rPr>
          <w:t>http://www.insep.ugent.be/sexandtheacademy/</w:t>
        </w:r>
      </w:hyperlink>
    </w:p>
    <w:p w:rsidR="00B05C06" w:rsidRDefault="000305AB" w:rsidP="00B05C06">
      <w:pPr>
        <w:spacing w:after="0"/>
        <w:contextualSpacing/>
        <w:jc w:val="left"/>
        <w:rPr>
          <w:rStyle w:val="Hyperlink"/>
        </w:rPr>
      </w:pPr>
      <w:r w:rsidRPr="002C6541">
        <w:t xml:space="preserve">INSEP – </w:t>
      </w:r>
      <w:hyperlink r:id="rId12" w:history="1">
        <w:r w:rsidR="0064114A" w:rsidRPr="00705FC8">
          <w:rPr>
            <w:rStyle w:val="Hyperlink"/>
          </w:rPr>
          <w:t>http://www.insep.ugent.be/</w:t>
        </w:r>
      </w:hyperlink>
    </w:p>
    <w:p w:rsidR="00B05C06" w:rsidRDefault="000305AB" w:rsidP="00B05C06">
      <w:pPr>
        <w:spacing w:after="0"/>
        <w:contextualSpacing/>
        <w:jc w:val="left"/>
        <w:rPr>
          <w:rStyle w:val="Hyperlink"/>
        </w:rPr>
      </w:pPr>
      <w:r w:rsidRPr="002C6541">
        <w:t xml:space="preserve">Journal INSEP – </w:t>
      </w:r>
      <w:hyperlink r:id="rId13" w:history="1">
        <w:r w:rsidR="0064114A" w:rsidRPr="00705FC8">
          <w:rPr>
            <w:rStyle w:val="Hyperlink"/>
          </w:rPr>
          <w:t>http://budrich-journals.de/index.php/insep</w:t>
        </w:r>
      </w:hyperlink>
    </w:p>
    <w:p w:rsidR="00B05C06" w:rsidRDefault="00B05C06" w:rsidP="00B05C06">
      <w:pPr>
        <w:spacing w:after="0"/>
        <w:contextualSpacing/>
        <w:jc w:val="left"/>
      </w:pPr>
    </w:p>
    <w:p w:rsidR="00242C6A" w:rsidRDefault="00242C6A" w:rsidP="00242C6A">
      <w:pPr>
        <w:contextualSpacing/>
        <w:jc w:val="left"/>
      </w:pPr>
      <w:r>
        <w:t xml:space="preserve">Tom </w:t>
      </w:r>
      <w:proofErr w:type="spellStart"/>
      <w:r>
        <w:t>Claes</w:t>
      </w:r>
      <w:proofErr w:type="spellEnd"/>
    </w:p>
    <w:p w:rsidR="00242C6A" w:rsidRDefault="00242C6A" w:rsidP="00242C6A">
      <w:pPr>
        <w:contextualSpacing/>
        <w:jc w:val="left"/>
      </w:pPr>
      <w:r>
        <w:t>Associate Professor of Ethics</w:t>
      </w:r>
    </w:p>
    <w:p w:rsidR="00242C6A" w:rsidRDefault="00242C6A" w:rsidP="00242C6A">
      <w:pPr>
        <w:contextualSpacing/>
        <w:jc w:val="left"/>
      </w:pPr>
      <w:r>
        <w:t>Ghent University, Belgium</w:t>
      </w:r>
    </w:p>
    <w:p w:rsidR="00242C6A" w:rsidRDefault="00F36CD8" w:rsidP="00242C6A">
      <w:pPr>
        <w:contextualSpacing/>
        <w:jc w:val="left"/>
      </w:pPr>
      <w:hyperlink r:id="rId14" w:history="1">
        <w:r w:rsidR="00242C6A" w:rsidRPr="00C74E28">
          <w:rPr>
            <w:rStyle w:val="Hyperlink"/>
          </w:rPr>
          <w:t>Tom.Claes@UGent.be</w:t>
        </w:r>
      </w:hyperlink>
    </w:p>
    <w:p w:rsidR="00242C6A" w:rsidRDefault="00242C6A" w:rsidP="00B05C06">
      <w:pPr>
        <w:spacing w:after="0"/>
        <w:contextualSpacing/>
        <w:jc w:val="left"/>
      </w:pPr>
    </w:p>
    <w:p w:rsidR="00B05C06" w:rsidRDefault="00B05C06" w:rsidP="00B05C06">
      <w:pPr>
        <w:spacing w:after="0"/>
        <w:contextualSpacing/>
        <w:jc w:val="left"/>
      </w:pPr>
      <w:r>
        <w:t>Paul Reynolds</w:t>
      </w:r>
    </w:p>
    <w:p w:rsidR="00B05C06" w:rsidRDefault="00C92FE9" w:rsidP="00B05C06">
      <w:pPr>
        <w:spacing w:after="0"/>
        <w:contextualSpacing/>
        <w:jc w:val="left"/>
      </w:pPr>
      <w:r w:rsidRPr="002C6541">
        <w:t xml:space="preserve">Reader in Sociology and Social </w:t>
      </w:r>
      <w:r w:rsidR="00B05C06">
        <w:t>Philosophy</w:t>
      </w:r>
    </w:p>
    <w:p w:rsidR="00B05C06" w:rsidRDefault="00B05C06" w:rsidP="00B05C06">
      <w:pPr>
        <w:spacing w:after="0"/>
        <w:contextualSpacing/>
        <w:jc w:val="left"/>
      </w:pPr>
      <w:r>
        <w:t>Edge Hill University, UK</w:t>
      </w:r>
    </w:p>
    <w:p w:rsidR="00C92FE9" w:rsidRDefault="00F36CD8" w:rsidP="00B05C06">
      <w:pPr>
        <w:spacing w:after="0"/>
        <w:contextualSpacing/>
        <w:jc w:val="left"/>
      </w:pPr>
      <w:hyperlink r:id="rId15" w:history="1">
        <w:r w:rsidR="00F245C1" w:rsidRPr="00C74E28">
          <w:rPr>
            <w:rStyle w:val="Hyperlink"/>
          </w:rPr>
          <w:t>reynoldp@edgehill.ac.uk</w:t>
        </w:r>
      </w:hyperlink>
    </w:p>
    <w:p w:rsidR="00F245C1" w:rsidRPr="002C6541" w:rsidRDefault="00F245C1" w:rsidP="00054EC1">
      <w:pPr>
        <w:jc w:val="left"/>
      </w:pPr>
    </w:p>
    <w:sectPr w:rsidR="00F245C1" w:rsidRPr="002C6541" w:rsidSect="00B0728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18" w:rsidRDefault="00B67718" w:rsidP="003F3314">
      <w:pPr>
        <w:spacing w:before="0" w:after="0"/>
      </w:pPr>
      <w:r>
        <w:separator/>
      </w:r>
    </w:p>
  </w:endnote>
  <w:endnote w:type="continuationSeparator" w:id="0">
    <w:p w:rsidR="00B67718" w:rsidRDefault="00B67718" w:rsidP="003F33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18465"/>
      <w:docPartObj>
        <w:docPartGallery w:val="Page Numbers (Bottom of Page)"/>
        <w:docPartUnique/>
      </w:docPartObj>
    </w:sdtPr>
    <w:sdtEndPr/>
    <w:sdtContent>
      <w:p w:rsidR="00992A83" w:rsidRDefault="00992A8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A83" w:rsidRDefault="00992A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18" w:rsidRDefault="00B67718" w:rsidP="003F3314">
      <w:pPr>
        <w:spacing w:before="0" w:after="0"/>
      </w:pPr>
      <w:r>
        <w:separator/>
      </w:r>
    </w:p>
  </w:footnote>
  <w:footnote w:type="continuationSeparator" w:id="0">
    <w:p w:rsidR="00B67718" w:rsidRDefault="00B67718" w:rsidP="003F33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AF"/>
    <w:multiLevelType w:val="multilevel"/>
    <w:tmpl w:val="F05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00F0A"/>
    <w:multiLevelType w:val="multilevel"/>
    <w:tmpl w:val="3872EAE6"/>
    <w:lvl w:ilvl="0">
      <w:start w:val="1"/>
      <w:numFmt w:val="bullet"/>
      <w:lvlText w:val="-"/>
      <w:lvlJc w:val="left"/>
      <w:pPr>
        <w:tabs>
          <w:tab w:val="num" w:pos="-465"/>
        </w:tabs>
        <w:ind w:left="-465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  <w:sz w:val="20"/>
      </w:rPr>
    </w:lvl>
  </w:abstractNum>
  <w:abstractNum w:abstractNumId="2">
    <w:nsid w:val="11B75B63"/>
    <w:multiLevelType w:val="multilevel"/>
    <w:tmpl w:val="569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CD7A95"/>
    <w:multiLevelType w:val="multilevel"/>
    <w:tmpl w:val="159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807A6"/>
    <w:multiLevelType w:val="multilevel"/>
    <w:tmpl w:val="479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650BCF"/>
    <w:multiLevelType w:val="hybridMultilevel"/>
    <w:tmpl w:val="57221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689"/>
    <w:multiLevelType w:val="hybridMultilevel"/>
    <w:tmpl w:val="B1E65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65594"/>
    <w:multiLevelType w:val="multilevel"/>
    <w:tmpl w:val="898C2FD8"/>
    <w:lvl w:ilvl="0">
      <w:start w:val="1"/>
      <w:numFmt w:val="bullet"/>
      <w:lvlText w:val=""/>
      <w:lvlJc w:val="left"/>
      <w:pPr>
        <w:tabs>
          <w:tab w:val="num" w:pos="-465"/>
        </w:tabs>
        <w:ind w:left="-4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  <w:sz w:val="20"/>
      </w:rPr>
    </w:lvl>
  </w:abstractNum>
  <w:abstractNum w:abstractNumId="8">
    <w:nsid w:val="5D16653C"/>
    <w:multiLevelType w:val="multilevel"/>
    <w:tmpl w:val="0A7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B23D18"/>
    <w:multiLevelType w:val="multilevel"/>
    <w:tmpl w:val="FA9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E9"/>
    <w:rsid w:val="000305AB"/>
    <w:rsid w:val="0004505E"/>
    <w:rsid w:val="00045EDF"/>
    <w:rsid w:val="00054EC1"/>
    <w:rsid w:val="00075E7D"/>
    <w:rsid w:val="000849F0"/>
    <w:rsid w:val="000860D1"/>
    <w:rsid w:val="00095CF1"/>
    <w:rsid w:val="000A16B9"/>
    <w:rsid w:val="000A6BF1"/>
    <w:rsid w:val="000C3484"/>
    <w:rsid w:val="000C6AFA"/>
    <w:rsid w:val="000D369A"/>
    <w:rsid w:val="000E743A"/>
    <w:rsid w:val="000F3789"/>
    <w:rsid w:val="00102F5C"/>
    <w:rsid w:val="00103CEB"/>
    <w:rsid w:val="00110B0A"/>
    <w:rsid w:val="001218ED"/>
    <w:rsid w:val="001422F8"/>
    <w:rsid w:val="00172277"/>
    <w:rsid w:val="001806A4"/>
    <w:rsid w:val="00197527"/>
    <w:rsid w:val="001A1E20"/>
    <w:rsid w:val="001B0160"/>
    <w:rsid w:val="001B1FE9"/>
    <w:rsid w:val="001D39CE"/>
    <w:rsid w:val="001E15EA"/>
    <w:rsid w:val="001F431E"/>
    <w:rsid w:val="001F614C"/>
    <w:rsid w:val="001F7740"/>
    <w:rsid w:val="00202A59"/>
    <w:rsid w:val="002132DD"/>
    <w:rsid w:val="00215EE5"/>
    <w:rsid w:val="0022234B"/>
    <w:rsid w:val="00242C6A"/>
    <w:rsid w:val="002450FA"/>
    <w:rsid w:val="00257533"/>
    <w:rsid w:val="00273D75"/>
    <w:rsid w:val="002742D5"/>
    <w:rsid w:val="002845C0"/>
    <w:rsid w:val="002B2158"/>
    <w:rsid w:val="002C2AB9"/>
    <w:rsid w:val="002C511B"/>
    <w:rsid w:val="002C6541"/>
    <w:rsid w:val="002E5B93"/>
    <w:rsid w:val="002E6E80"/>
    <w:rsid w:val="00310FF5"/>
    <w:rsid w:val="003202CD"/>
    <w:rsid w:val="00340A08"/>
    <w:rsid w:val="00341D7A"/>
    <w:rsid w:val="00343318"/>
    <w:rsid w:val="00353979"/>
    <w:rsid w:val="003636D5"/>
    <w:rsid w:val="0037229C"/>
    <w:rsid w:val="003B28AF"/>
    <w:rsid w:val="003C2BBB"/>
    <w:rsid w:val="003C5DF5"/>
    <w:rsid w:val="003F3314"/>
    <w:rsid w:val="004104E7"/>
    <w:rsid w:val="004667C0"/>
    <w:rsid w:val="00471413"/>
    <w:rsid w:val="004824D8"/>
    <w:rsid w:val="00491A3C"/>
    <w:rsid w:val="004B089E"/>
    <w:rsid w:val="004B2023"/>
    <w:rsid w:val="004B50C9"/>
    <w:rsid w:val="004B74AC"/>
    <w:rsid w:val="004C5337"/>
    <w:rsid w:val="004D7ACD"/>
    <w:rsid w:val="004E172D"/>
    <w:rsid w:val="004E5817"/>
    <w:rsid w:val="004F20F6"/>
    <w:rsid w:val="00506F1B"/>
    <w:rsid w:val="0051487D"/>
    <w:rsid w:val="00522F09"/>
    <w:rsid w:val="0053607E"/>
    <w:rsid w:val="00536CA1"/>
    <w:rsid w:val="00537F9A"/>
    <w:rsid w:val="00561DFD"/>
    <w:rsid w:val="00564E1A"/>
    <w:rsid w:val="00566C11"/>
    <w:rsid w:val="005A7B63"/>
    <w:rsid w:val="005E15D0"/>
    <w:rsid w:val="005F6052"/>
    <w:rsid w:val="00602C25"/>
    <w:rsid w:val="00602D2E"/>
    <w:rsid w:val="00621A0E"/>
    <w:rsid w:val="0064114A"/>
    <w:rsid w:val="0066415A"/>
    <w:rsid w:val="00665A19"/>
    <w:rsid w:val="0067590A"/>
    <w:rsid w:val="00680405"/>
    <w:rsid w:val="0069456C"/>
    <w:rsid w:val="006D3F58"/>
    <w:rsid w:val="006D622F"/>
    <w:rsid w:val="00711A30"/>
    <w:rsid w:val="00722E6E"/>
    <w:rsid w:val="00745CF1"/>
    <w:rsid w:val="007510AC"/>
    <w:rsid w:val="0076371E"/>
    <w:rsid w:val="0076668E"/>
    <w:rsid w:val="00766A2A"/>
    <w:rsid w:val="0077628F"/>
    <w:rsid w:val="007C0D49"/>
    <w:rsid w:val="007C6E29"/>
    <w:rsid w:val="007E2790"/>
    <w:rsid w:val="008017D4"/>
    <w:rsid w:val="00832B8B"/>
    <w:rsid w:val="00860E2C"/>
    <w:rsid w:val="00876CAC"/>
    <w:rsid w:val="00892319"/>
    <w:rsid w:val="008B7F6F"/>
    <w:rsid w:val="008C2808"/>
    <w:rsid w:val="008C61C4"/>
    <w:rsid w:val="008E5A23"/>
    <w:rsid w:val="009075A9"/>
    <w:rsid w:val="0090792B"/>
    <w:rsid w:val="009213E6"/>
    <w:rsid w:val="0094643B"/>
    <w:rsid w:val="009661C5"/>
    <w:rsid w:val="009710B8"/>
    <w:rsid w:val="00971FD4"/>
    <w:rsid w:val="00975CD3"/>
    <w:rsid w:val="00982EF5"/>
    <w:rsid w:val="00983EF2"/>
    <w:rsid w:val="00986922"/>
    <w:rsid w:val="00992A83"/>
    <w:rsid w:val="009C4E92"/>
    <w:rsid w:val="009D205F"/>
    <w:rsid w:val="009E4AC8"/>
    <w:rsid w:val="009E5636"/>
    <w:rsid w:val="009E6AF7"/>
    <w:rsid w:val="009F354A"/>
    <w:rsid w:val="009F3C20"/>
    <w:rsid w:val="00A13A6C"/>
    <w:rsid w:val="00A2764C"/>
    <w:rsid w:val="00A41207"/>
    <w:rsid w:val="00A44535"/>
    <w:rsid w:val="00A453BB"/>
    <w:rsid w:val="00A64448"/>
    <w:rsid w:val="00A847B6"/>
    <w:rsid w:val="00A94E3F"/>
    <w:rsid w:val="00A9541C"/>
    <w:rsid w:val="00AA12AF"/>
    <w:rsid w:val="00AA780A"/>
    <w:rsid w:val="00AD2B89"/>
    <w:rsid w:val="00B05C06"/>
    <w:rsid w:val="00B07284"/>
    <w:rsid w:val="00B11312"/>
    <w:rsid w:val="00B17D76"/>
    <w:rsid w:val="00B310AD"/>
    <w:rsid w:val="00B32614"/>
    <w:rsid w:val="00B36798"/>
    <w:rsid w:val="00B43613"/>
    <w:rsid w:val="00B67718"/>
    <w:rsid w:val="00B8122F"/>
    <w:rsid w:val="00BF0BD6"/>
    <w:rsid w:val="00C82664"/>
    <w:rsid w:val="00C860E9"/>
    <w:rsid w:val="00C92FE9"/>
    <w:rsid w:val="00C93770"/>
    <w:rsid w:val="00C959DD"/>
    <w:rsid w:val="00C97481"/>
    <w:rsid w:val="00CA2D82"/>
    <w:rsid w:val="00CA41C7"/>
    <w:rsid w:val="00CB40FC"/>
    <w:rsid w:val="00CC2FBC"/>
    <w:rsid w:val="00CD6A2C"/>
    <w:rsid w:val="00CF1D3A"/>
    <w:rsid w:val="00CF55E5"/>
    <w:rsid w:val="00D1387B"/>
    <w:rsid w:val="00D55A6C"/>
    <w:rsid w:val="00D64DEB"/>
    <w:rsid w:val="00DA6A2E"/>
    <w:rsid w:val="00DB01A9"/>
    <w:rsid w:val="00DC1790"/>
    <w:rsid w:val="00DD2D4C"/>
    <w:rsid w:val="00E01143"/>
    <w:rsid w:val="00E16725"/>
    <w:rsid w:val="00E213AE"/>
    <w:rsid w:val="00E340A5"/>
    <w:rsid w:val="00E3525B"/>
    <w:rsid w:val="00E37011"/>
    <w:rsid w:val="00E455C3"/>
    <w:rsid w:val="00E64634"/>
    <w:rsid w:val="00E75005"/>
    <w:rsid w:val="00E75141"/>
    <w:rsid w:val="00E7530F"/>
    <w:rsid w:val="00EA4E27"/>
    <w:rsid w:val="00EB2C94"/>
    <w:rsid w:val="00EF39FD"/>
    <w:rsid w:val="00EF61AC"/>
    <w:rsid w:val="00F12A82"/>
    <w:rsid w:val="00F137DA"/>
    <w:rsid w:val="00F14B55"/>
    <w:rsid w:val="00F14E39"/>
    <w:rsid w:val="00F20F8C"/>
    <w:rsid w:val="00F245C1"/>
    <w:rsid w:val="00F34DA0"/>
    <w:rsid w:val="00F36CD8"/>
    <w:rsid w:val="00F40978"/>
    <w:rsid w:val="00F54762"/>
    <w:rsid w:val="00F862FE"/>
    <w:rsid w:val="00F94658"/>
    <w:rsid w:val="00FA16C0"/>
    <w:rsid w:val="00FB017C"/>
    <w:rsid w:val="00FC33B8"/>
    <w:rsid w:val="00FD4BB0"/>
    <w:rsid w:val="00FD64A6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43A"/>
    <w:pPr>
      <w:spacing w:before="120" w:after="120"/>
      <w:jc w:val="both"/>
    </w:pPr>
  </w:style>
  <w:style w:type="paragraph" w:styleId="Kop1">
    <w:name w:val="heading 1"/>
    <w:basedOn w:val="Standaard"/>
    <w:link w:val="Kop1Char"/>
    <w:uiPriority w:val="9"/>
    <w:qFormat/>
    <w:rsid w:val="00054EC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2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4EC1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EC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link w:val="Kop4Char"/>
    <w:uiPriority w:val="9"/>
    <w:qFormat/>
    <w:rsid w:val="00C92F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5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4EC1"/>
    <w:rPr>
      <w:rFonts w:eastAsia="Times New Roman" w:cs="Times New Roman"/>
      <w:b/>
      <w:bCs/>
      <w:kern w:val="36"/>
      <w:sz w:val="28"/>
      <w:szCs w:val="48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C92FE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Standaardalinea-lettertype"/>
    <w:rsid w:val="00C92FE9"/>
  </w:style>
  <w:style w:type="character" w:styleId="Zwaar">
    <w:name w:val="Strong"/>
    <w:basedOn w:val="Standaardalinea-lettertype"/>
    <w:uiPriority w:val="22"/>
    <w:qFormat/>
    <w:rsid w:val="00C92FE9"/>
    <w:rPr>
      <w:b/>
      <w:bCs/>
    </w:rPr>
  </w:style>
  <w:style w:type="paragraph" w:styleId="Normaalweb">
    <w:name w:val="Normal (Web)"/>
    <w:basedOn w:val="Standaard"/>
    <w:uiPriority w:val="99"/>
    <w:unhideWhenUsed/>
    <w:rsid w:val="00C92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druk">
    <w:name w:val="Emphasis"/>
    <w:basedOn w:val="Standaardalinea-lettertype"/>
    <w:uiPriority w:val="20"/>
    <w:qFormat/>
    <w:rsid w:val="00C92FE9"/>
    <w:rPr>
      <w:i/>
      <w:iCs/>
    </w:rPr>
  </w:style>
  <w:style w:type="paragraph" w:styleId="Lijstalinea">
    <w:name w:val="List Paragraph"/>
    <w:basedOn w:val="Standaard"/>
    <w:uiPriority w:val="34"/>
    <w:qFormat/>
    <w:rsid w:val="000849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849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9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9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9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9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9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9F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54EC1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54EC1"/>
    <w:rPr>
      <w:rFonts w:eastAsiaTheme="majorEastAsia" w:cstheme="majorBidi"/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3F3314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3314"/>
  </w:style>
  <w:style w:type="paragraph" w:styleId="Voettekst">
    <w:name w:val="footer"/>
    <w:basedOn w:val="Standaard"/>
    <w:link w:val="VoettekstChar"/>
    <w:uiPriority w:val="99"/>
    <w:unhideWhenUsed/>
    <w:rsid w:val="003F3314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314"/>
  </w:style>
  <w:style w:type="character" w:styleId="Hyperlink">
    <w:name w:val="Hyperlink"/>
    <w:basedOn w:val="Standaardalinea-lettertype"/>
    <w:uiPriority w:val="99"/>
    <w:unhideWhenUsed/>
    <w:rsid w:val="00F245C1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59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4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43A"/>
    <w:pPr>
      <w:spacing w:before="120" w:after="120"/>
      <w:jc w:val="both"/>
    </w:pPr>
  </w:style>
  <w:style w:type="paragraph" w:styleId="Kop1">
    <w:name w:val="heading 1"/>
    <w:basedOn w:val="Standaard"/>
    <w:link w:val="Kop1Char"/>
    <w:uiPriority w:val="9"/>
    <w:qFormat/>
    <w:rsid w:val="00054EC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2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4EC1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EC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link w:val="Kop4Char"/>
    <w:uiPriority w:val="9"/>
    <w:qFormat/>
    <w:rsid w:val="00C92F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5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4EC1"/>
    <w:rPr>
      <w:rFonts w:eastAsia="Times New Roman" w:cs="Times New Roman"/>
      <w:b/>
      <w:bCs/>
      <w:kern w:val="36"/>
      <w:sz w:val="28"/>
      <w:szCs w:val="48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C92FE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Standaardalinea-lettertype"/>
    <w:rsid w:val="00C92FE9"/>
  </w:style>
  <w:style w:type="character" w:styleId="Zwaar">
    <w:name w:val="Strong"/>
    <w:basedOn w:val="Standaardalinea-lettertype"/>
    <w:uiPriority w:val="22"/>
    <w:qFormat/>
    <w:rsid w:val="00C92FE9"/>
    <w:rPr>
      <w:b/>
      <w:bCs/>
    </w:rPr>
  </w:style>
  <w:style w:type="paragraph" w:styleId="Normaalweb">
    <w:name w:val="Normal (Web)"/>
    <w:basedOn w:val="Standaard"/>
    <w:uiPriority w:val="99"/>
    <w:unhideWhenUsed/>
    <w:rsid w:val="00C92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druk">
    <w:name w:val="Emphasis"/>
    <w:basedOn w:val="Standaardalinea-lettertype"/>
    <w:uiPriority w:val="20"/>
    <w:qFormat/>
    <w:rsid w:val="00C92FE9"/>
    <w:rPr>
      <w:i/>
      <w:iCs/>
    </w:rPr>
  </w:style>
  <w:style w:type="paragraph" w:styleId="Lijstalinea">
    <w:name w:val="List Paragraph"/>
    <w:basedOn w:val="Standaard"/>
    <w:uiPriority w:val="34"/>
    <w:qFormat/>
    <w:rsid w:val="000849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849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9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9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9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9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9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9F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54EC1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54EC1"/>
    <w:rPr>
      <w:rFonts w:eastAsiaTheme="majorEastAsia" w:cstheme="majorBidi"/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3F3314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3314"/>
  </w:style>
  <w:style w:type="paragraph" w:styleId="Voettekst">
    <w:name w:val="footer"/>
    <w:basedOn w:val="Standaard"/>
    <w:link w:val="VoettekstChar"/>
    <w:uiPriority w:val="99"/>
    <w:unhideWhenUsed/>
    <w:rsid w:val="003F3314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314"/>
  </w:style>
  <w:style w:type="character" w:styleId="Hyperlink">
    <w:name w:val="Hyperlink"/>
    <w:basedOn w:val="Standaardalinea-lettertype"/>
    <w:uiPriority w:val="99"/>
    <w:unhideWhenUsed/>
    <w:rsid w:val="00F245C1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59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4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drich-journals.de/index.php/ins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ep.ugent.b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ep.ugent.be/sexandtheacademy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ynoldp@edgehill.ac.uk" TargetMode="External"/><Relationship Id="rId10" Type="http://schemas.openxmlformats.org/officeDocument/2006/relationships/hyperlink" Target="mailto:insep.networ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ep.ugent.be/sexandtheacademy/" TargetMode="External"/><Relationship Id="rId14" Type="http://schemas.openxmlformats.org/officeDocument/2006/relationships/hyperlink" Target="mailto:Tom.Claes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60C5B4C-9619-4726-9901-093D6D9A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6279</Characters>
  <Application>Microsoft Office Word</Application>
  <DocSecurity>4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Elaut Els</cp:lastModifiedBy>
  <cp:revision>2</cp:revision>
  <cp:lastPrinted>2015-08-16T11:44:00Z</cp:lastPrinted>
  <dcterms:created xsi:type="dcterms:W3CDTF">2015-09-07T15:54:00Z</dcterms:created>
  <dcterms:modified xsi:type="dcterms:W3CDTF">2015-09-07T15:54:00Z</dcterms:modified>
</cp:coreProperties>
</file>